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C" w:rsidRPr="007D3D0C" w:rsidRDefault="007D3D0C" w:rsidP="007D3D0C">
      <w:pPr>
        <w:spacing w:before="170" w:after="0" w:line="290" w:lineRule="exact"/>
        <w:ind w:left="1022" w:right="794" w:firstLine="4"/>
        <w:jc w:val="center"/>
        <w:rPr>
          <w:rFonts w:ascii="Georgia" w:hAnsi="Georgia"/>
          <w:b/>
          <w:color w:val="000000"/>
          <w:w w:val="124"/>
          <w:sz w:val="24"/>
          <w:szCs w:val="24"/>
          <w:lang w:val="it-IT"/>
        </w:rPr>
      </w:pPr>
      <w:r w:rsidRPr="007D3D0C"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 xml:space="preserve">Relazione di monitoraggio </w:t>
      </w:r>
      <w:r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>t</w:t>
      </w:r>
      <w:r w:rsidRPr="007D3D0C"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>rattamento dei rischi</w:t>
      </w:r>
    </w:p>
    <w:p w:rsidR="007D3D0C" w:rsidRPr="007D3D0C" w:rsidRDefault="00C07B0B" w:rsidP="007D3D0C">
      <w:pPr>
        <w:spacing w:before="170" w:after="0" w:line="290" w:lineRule="exact"/>
        <w:ind w:left="1022" w:right="794" w:firstLine="4"/>
        <w:jc w:val="center"/>
        <w:rPr>
          <w:rFonts w:ascii="Georgia" w:hAnsi="Georgia"/>
          <w:b/>
          <w:color w:val="000000"/>
          <w:w w:val="124"/>
          <w:sz w:val="24"/>
          <w:szCs w:val="24"/>
          <w:lang w:val="it-IT"/>
        </w:rPr>
      </w:pPr>
      <w:r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>Luglio</w:t>
      </w:r>
      <w:r w:rsidR="007D3D0C" w:rsidRPr="007D3D0C"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>-</w:t>
      </w:r>
      <w:r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>Dicembre</w:t>
      </w:r>
      <w:r w:rsidR="007D3D0C" w:rsidRPr="007D3D0C"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 xml:space="preserve"> 202</w:t>
      </w:r>
      <w:r w:rsidR="005C1C0C">
        <w:rPr>
          <w:rFonts w:ascii="Georgia" w:hAnsi="Georgia"/>
          <w:b/>
          <w:color w:val="000000"/>
          <w:w w:val="124"/>
          <w:sz w:val="24"/>
          <w:szCs w:val="24"/>
          <w:lang w:val="it-IT"/>
        </w:rPr>
        <w:t>0</w:t>
      </w:r>
    </w:p>
    <w:p w:rsidR="007D3D0C" w:rsidRDefault="007D3D0C">
      <w:pPr>
        <w:spacing w:before="170" w:after="0" w:line="290" w:lineRule="exact"/>
        <w:ind w:left="1022" w:right="794" w:firstLine="4"/>
        <w:jc w:val="both"/>
        <w:rPr>
          <w:rFonts w:ascii="Georgia" w:hAnsi="Georgia"/>
          <w:color w:val="000000"/>
          <w:w w:val="124"/>
          <w:sz w:val="24"/>
          <w:szCs w:val="24"/>
          <w:lang w:val="it-IT"/>
        </w:rPr>
      </w:pPr>
    </w:p>
    <w:p w:rsidR="00357B60" w:rsidRPr="000320C6" w:rsidRDefault="000320C6">
      <w:pPr>
        <w:spacing w:before="170" w:after="0" w:line="290" w:lineRule="exact"/>
        <w:ind w:left="1022" w:right="794" w:firstLine="4"/>
        <w:jc w:val="both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24"/>
          <w:sz w:val="24"/>
          <w:szCs w:val="24"/>
          <w:lang w:val="it-IT"/>
        </w:rPr>
        <w:t>L'attivit</w:t>
      </w:r>
      <w:r>
        <w:rPr>
          <w:rFonts w:ascii="Georgia" w:hAnsi="Georgia"/>
          <w:color w:val="000000"/>
          <w:w w:val="124"/>
          <w:sz w:val="24"/>
          <w:szCs w:val="24"/>
          <w:lang w:val="it-IT"/>
        </w:rPr>
        <w:t>à</w:t>
      </w:r>
      <w:r w:rsidRPr="000320C6">
        <w:rPr>
          <w:rFonts w:ascii="Georgia" w:hAnsi="Georgia"/>
          <w:color w:val="000000"/>
          <w:w w:val="124"/>
          <w:sz w:val="24"/>
          <w:szCs w:val="24"/>
          <w:lang w:val="it-IT"/>
        </w:rPr>
        <w:t xml:space="preserve"> di monitoraggio e di controllo sullo stato di attuazione delle misure di prevenzione previste dal 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P.T.P.C. </w:t>
      </w:r>
      <w:r w:rsidR="007C4639">
        <w:rPr>
          <w:rFonts w:ascii="Georgia" w:hAnsi="Georgia"/>
          <w:color w:val="000000"/>
          <w:w w:val="120"/>
          <w:sz w:val="24"/>
          <w:szCs w:val="24"/>
          <w:lang w:val="it-IT"/>
        </w:rPr>
        <w:t>è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 strumento fondamentale per </w:t>
      </w:r>
      <w:r w:rsidR="007C4639">
        <w:rPr>
          <w:rFonts w:ascii="Georgia" w:hAnsi="Georgia"/>
          <w:color w:val="000000"/>
          <w:w w:val="120"/>
          <w:sz w:val="24"/>
          <w:szCs w:val="24"/>
          <w:lang w:val="it-IT"/>
        </w:rPr>
        <w:t>l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a concreta realizzazione di quanto previsto dalla legge n. </w:t>
      </w:r>
      <w:r w:rsidRPr="000320C6">
        <w:rPr>
          <w:rFonts w:ascii="Georgia" w:hAnsi="Georgia"/>
          <w:color w:val="000000"/>
          <w:w w:val="115"/>
          <w:sz w:val="24"/>
          <w:szCs w:val="24"/>
          <w:lang w:val="it-IT"/>
        </w:rPr>
        <w:t xml:space="preserve">190/2012 e 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>contenuto importante del Piano Triennale di Prevenzione della Corruzione. L'attivit</w:t>
      </w:r>
      <w:r>
        <w:rPr>
          <w:rFonts w:ascii="Georgia" w:hAnsi="Georgia"/>
          <w:color w:val="000000"/>
          <w:w w:val="120"/>
          <w:sz w:val="24"/>
          <w:szCs w:val="24"/>
          <w:lang w:val="it-IT"/>
        </w:rPr>
        <w:t>à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 di monitoraggio ricopre </w:t>
      </w:r>
      <w:r w:rsidRPr="000320C6">
        <w:rPr>
          <w:rFonts w:ascii="Georgia" w:hAnsi="Georgia"/>
          <w:color w:val="000000"/>
          <w:w w:val="123"/>
          <w:sz w:val="24"/>
          <w:szCs w:val="24"/>
          <w:lang w:val="it-IT"/>
        </w:rPr>
        <w:t xml:space="preserve">un ruolo strategico nell'azione di prevenzione ed in particolare nell'azione amministrativa a garanzia di una </w:t>
      </w:r>
      <w:r w:rsidRPr="000320C6">
        <w:rPr>
          <w:rFonts w:ascii="Georgia" w:hAnsi="Georgia"/>
          <w:color w:val="000000"/>
          <w:w w:val="118"/>
          <w:sz w:val="24"/>
          <w:szCs w:val="24"/>
          <w:lang w:val="it-IT"/>
        </w:rPr>
        <w:t>corretta e funzionale gestione.</w:t>
      </w:r>
    </w:p>
    <w:p w:rsidR="00357B60" w:rsidRPr="000320C6" w:rsidRDefault="00357B60">
      <w:pPr>
        <w:spacing w:after="0" w:line="207" w:lineRule="exact"/>
        <w:ind w:left="1027"/>
        <w:rPr>
          <w:rFonts w:ascii="Georgia" w:hAnsi="Georgia"/>
          <w:sz w:val="24"/>
          <w:szCs w:val="24"/>
          <w:lang w:val="it-IT"/>
        </w:rPr>
      </w:pPr>
    </w:p>
    <w:p w:rsidR="002930D6" w:rsidRDefault="000320C6" w:rsidP="002930D6">
      <w:pPr>
        <w:spacing w:before="52" w:after="0" w:line="207" w:lineRule="exact"/>
        <w:ind w:left="1027"/>
        <w:jc w:val="both"/>
        <w:rPr>
          <w:rFonts w:ascii="Georgia" w:hAnsi="Georgia"/>
          <w:color w:val="000000"/>
          <w:w w:val="120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>L'attivit</w:t>
      </w:r>
      <w:r>
        <w:rPr>
          <w:rFonts w:ascii="Georgia" w:hAnsi="Georgia"/>
          <w:color w:val="000000"/>
          <w:w w:val="120"/>
          <w:sz w:val="24"/>
          <w:szCs w:val="24"/>
          <w:lang w:val="it-IT"/>
        </w:rPr>
        <w:t>à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 della Fondazione </w:t>
      </w:r>
      <w:r w:rsidR="007C4639">
        <w:rPr>
          <w:rFonts w:ascii="Georgia" w:hAnsi="Georgia"/>
          <w:color w:val="000000"/>
          <w:w w:val="120"/>
          <w:sz w:val="24"/>
          <w:szCs w:val="24"/>
          <w:lang w:val="it-IT"/>
        </w:rPr>
        <w:t>è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 supportata dal Comitato Esecutivo e dal </w:t>
      </w:r>
    </w:p>
    <w:p w:rsidR="00357B60" w:rsidRPr="000320C6" w:rsidRDefault="000320C6" w:rsidP="002930D6">
      <w:pPr>
        <w:spacing w:before="52" w:after="0" w:line="207" w:lineRule="exact"/>
        <w:ind w:left="1027"/>
        <w:jc w:val="both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>Presidente.</w:t>
      </w:r>
    </w:p>
    <w:p w:rsidR="00357B60" w:rsidRPr="000320C6" w:rsidRDefault="000320C6" w:rsidP="002930D6">
      <w:pPr>
        <w:spacing w:before="233" w:after="0" w:line="280" w:lineRule="exact"/>
        <w:ind w:left="1022" w:right="789"/>
        <w:jc w:val="both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23"/>
          <w:sz w:val="24"/>
          <w:szCs w:val="24"/>
          <w:lang w:val="it-IT"/>
        </w:rPr>
        <w:t xml:space="preserve">La Fondazione ha adottato un regolamento per le procedure che riguardano la selezione del personale e per </w:t>
      </w:r>
      <w:r>
        <w:rPr>
          <w:rFonts w:ascii="Georgia" w:hAnsi="Georgia"/>
          <w:color w:val="000000"/>
          <w:w w:val="120"/>
          <w:sz w:val="24"/>
          <w:szCs w:val="24"/>
          <w:lang w:val="it-IT"/>
        </w:rPr>
        <w:t>l’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affidamento degli incarichi e dei servizi necessari per </w:t>
      </w:r>
      <w:r w:rsidR="007C4639">
        <w:rPr>
          <w:rFonts w:ascii="Georgia" w:hAnsi="Georgia"/>
          <w:color w:val="000000"/>
          <w:w w:val="120"/>
          <w:sz w:val="24"/>
          <w:szCs w:val="24"/>
          <w:lang w:val="it-IT"/>
        </w:rPr>
        <w:t>l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>o svolgimento dell'attivit</w:t>
      </w:r>
      <w:r>
        <w:rPr>
          <w:rFonts w:ascii="Georgia" w:hAnsi="Georgia"/>
          <w:color w:val="000000"/>
          <w:w w:val="120"/>
          <w:sz w:val="24"/>
          <w:szCs w:val="24"/>
          <w:lang w:val="it-IT"/>
        </w:rPr>
        <w:t>à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 e relativo monitoraggio.</w:t>
      </w:r>
    </w:p>
    <w:p w:rsidR="007C4639" w:rsidRDefault="000320C6">
      <w:pPr>
        <w:spacing w:before="212" w:after="0" w:line="290" w:lineRule="exact"/>
        <w:ind w:left="1017" w:right="798" w:firstLine="4"/>
        <w:jc w:val="both"/>
        <w:rPr>
          <w:rFonts w:ascii="Georgia" w:hAnsi="Georgia"/>
          <w:color w:val="000000"/>
          <w:w w:val="120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23"/>
          <w:sz w:val="24"/>
          <w:szCs w:val="24"/>
          <w:lang w:val="it-IT"/>
        </w:rPr>
        <w:t>Per ci</w:t>
      </w:r>
      <w:r>
        <w:rPr>
          <w:rFonts w:ascii="Georgia" w:hAnsi="Georgia"/>
          <w:color w:val="000000"/>
          <w:w w:val="123"/>
          <w:sz w:val="24"/>
          <w:szCs w:val="24"/>
          <w:lang w:val="it-IT"/>
        </w:rPr>
        <w:t>ò</w:t>
      </w:r>
      <w:r w:rsidRPr="000320C6">
        <w:rPr>
          <w:rFonts w:ascii="Georgia" w:hAnsi="Georgia"/>
          <w:color w:val="000000"/>
          <w:w w:val="123"/>
          <w:sz w:val="24"/>
          <w:szCs w:val="24"/>
          <w:lang w:val="it-IT"/>
        </w:rPr>
        <w:t xml:space="preserve"> che concerne la gestione del rischio nel P.T.C.P. attualmente </w:t>
      </w:r>
      <w:r w:rsidR="007C4639">
        <w:rPr>
          <w:rFonts w:ascii="Georgia" w:hAnsi="Georgia"/>
          <w:color w:val="000000"/>
          <w:w w:val="123"/>
          <w:sz w:val="24"/>
          <w:szCs w:val="24"/>
          <w:lang w:val="it-IT"/>
        </w:rPr>
        <w:t xml:space="preserve">è </w:t>
      </w:r>
      <w:r w:rsidRPr="000320C6">
        <w:rPr>
          <w:rFonts w:ascii="Georgia" w:hAnsi="Georgia"/>
          <w:color w:val="000000"/>
          <w:w w:val="123"/>
          <w:sz w:val="24"/>
          <w:szCs w:val="24"/>
          <w:lang w:val="it-IT"/>
        </w:rPr>
        <w:t xml:space="preserve">previsto un monitoraggio concertato </w:t>
      </w:r>
      <w:r w:rsidRPr="000320C6">
        <w:rPr>
          <w:rFonts w:ascii="Georgia" w:hAnsi="Georgia"/>
          <w:color w:val="000000"/>
          <w:w w:val="121"/>
          <w:sz w:val="24"/>
          <w:szCs w:val="24"/>
          <w:lang w:val="it-IT"/>
        </w:rPr>
        <w:t xml:space="preserve">nell'ambito della Presidenza e del Comitato Esecutivo. A tal proposito sono stati effettuati controlli in merito </w:t>
      </w: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>a:</w:t>
      </w:r>
      <w:r w:rsidR="007C4639">
        <w:rPr>
          <w:rFonts w:ascii="Georgia" w:hAnsi="Georgia"/>
          <w:color w:val="000000"/>
          <w:w w:val="120"/>
          <w:sz w:val="24"/>
          <w:szCs w:val="24"/>
          <w:lang w:val="it-IT"/>
        </w:rPr>
        <w:t xml:space="preserve"> </w:t>
      </w:r>
    </w:p>
    <w:p w:rsidR="00357B60" w:rsidRDefault="007C4639">
      <w:pPr>
        <w:spacing w:before="212" w:after="0" w:line="290" w:lineRule="exact"/>
        <w:ind w:left="1017" w:right="798" w:firstLine="4"/>
        <w:jc w:val="both"/>
        <w:rPr>
          <w:rFonts w:ascii="Georgia" w:hAnsi="Georgia"/>
          <w:color w:val="000000"/>
          <w:w w:val="120"/>
          <w:sz w:val="24"/>
          <w:szCs w:val="24"/>
          <w:lang w:val="it-IT"/>
        </w:rPr>
      </w:pPr>
      <w:r>
        <w:rPr>
          <w:rFonts w:ascii="Georgia" w:hAnsi="Georgia"/>
          <w:color w:val="000000"/>
          <w:w w:val="120"/>
          <w:sz w:val="24"/>
          <w:szCs w:val="24"/>
          <w:lang w:val="it-IT"/>
        </w:rPr>
        <w:t>- acquisizione e progressione del personale;</w:t>
      </w:r>
    </w:p>
    <w:p w:rsidR="007C4639" w:rsidRPr="000320C6" w:rsidRDefault="007C4639">
      <w:pPr>
        <w:spacing w:before="212" w:after="0" w:line="290" w:lineRule="exact"/>
        <w:ind w:left="1017" w:right="798" w:firstLine="4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color w:val="000000"/>
          <w:w w:val="120"/>
          <w:sz w:val="24"/>
          <w:szCs w:val="24"/>
          <w:lang w:val="it-IT"/>
        </w:rPr>
        <w:t>- affidamento dei lavori, servizi e forniture.</w:t>
      </w:r>
    </w:p>
    <w:p w:rsidR="007C4639" w:rsidRDefault="007C4639">
      <w:pPr>
        <w:spacing w:before="146" w:after="0" w:line="300" w:lineRule="exact"/>
        <w:ind w:left="1012" w:right="799"/>
        <w:jc w:val="both"/>
        <w:rPr>
          <w:rFonts w:ascii="Georgia" w:hAnsi="Georgia"/>
          <w:color w:val="000000"/>
          <w:w w:val="118"/>
          <w:sz w:val="24"/>
          <w:szCs w:val="24"/>
          <w:lang w:val="it-IT"/>
        </w:rPr>
      </w:pPr>
    </w:p>
    <w:p w:rsidR="00357B60" w:rsidRPr="000320C6" w:rsidRDefault="000320C6">
      <w:pPr>
        <w:spacing w:before="146" w:after="0" w:line="300" w:lineRule="exact"/>
        <w:ind w:left="1012" w:right="799"/>
        <w:jc w:val="both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17"/>
          <w:sz w:val="24"/>
          <w:szCs w:val="24"/>
          <w:lang w:val="it-IT"/>
        </w:rPr>
        <w:t>Al momento non sono emerse s</w:t>
      </w:r>
      <w:r>
        <w:rPr>
          <w:rFonts w:ascii="Georgia" w:hAnsi="Georgia"/>
          <w:color w:val="000000"/>
          <w:w w:val="117"/>
          <w:sz w:val="24"/>
          <w:szCs w:val="24"/>
          <w:lang w:val="it-IT"/>
        </w:rPr>
        <w:t>ituazioni che hanno ostacolato l</w:t>
      </w:r>
      <w:r w:rsidRPr="000320C6">
        <w:rPr>
          <w:rFonts w:ascii="Georgia" w:hAnsi="Georgia"/>
          <w:color w:val="000000"/>
          <w:w w:val="117"/>
          <w:sz w:val="24"/>
          <w:szCs w:val="24"/>
          <w:lang w:val="it-IT"/>
        </w:rPr>
        <w:t>'attuazione del P.T.P.C., pertanto non si rilevano segnalazioni di illeciti e/o criticit</w:t>
      </w:r>
      <w:r>
        <w:rPr>
          <w:rFonts w:ascii="Georgia" w:hAnsi="Georgia"/>
          <w:color w:val="000000"/>
          <w:w w:val="117"/>
          <w:sz w:val="24"/>
          <w:szCs w:val="24"/>
          <w:lang w:val="it-IT"/>
        </w:rPr>
        <w:t>à riguardo alla compatibilit</w:t>
      </w:r>
      <w:r w:rsidR="007C4639">
        <w:rPr>
          <w:rFonts w:ascii="Georgia" w:hAnsi="Georgia"/>
          <w:color w:val="000000"/>
          <w:w w:val="117"/>
          <w:sz w:val="24"/>
          <w:szCs w:val="24"/>
          <w:lang w:val="it-IT"/>
        </w:rPr>
        <w:t>à</w:t>
      </w:r>
      <w:r>
        <w:rPr>
          <w:rFonts w:ascii="Georgia" w:hAnsi="Georgia"/>
          <w:color w:val="000000"/>
          <w:w w:val="117"/>
          <w:sz w:val="24"/>
          <w:szCs w:val="24"/>
          <w:lang w:val="it-IT"/>
        </w:rPr>
        <w:t xml:space="preserve"> </w:t>
      </w:r>
      <w:r w:rsidRPr="000320C6">
        <w:rPr>
          <w:rFonts w:ascii="Georgia" w:hAnsi="Georgia"/>
          <w:color w:val="000000"/>
          <w:w w:val="117"/>
          <w:sz w:val="24"/>
          <w:szCs w:val="24"/>
          <w:lang w:val="it-IT"/>
        </w:rPr>
        <w:t>o la conferibilit</w:t>
      </w:r>
      <w:r>
        <w:rPr>
          <w:rFonts w:ascii="Georgia" w:hAnsi="Georgia"/>
          <w:color w:val="000000"/>
          <w:w w:val="117"/>
          <w:sz w:val="24"/>
          <w:szCs w:val="24"/>
          <w:lang w:val="it-IT"/>
        </w:rPr>
        <w:t>à</w:t>
      </w:r>
      <w:r w:rsidRPr="000320C6">
        <w:rPr>
          <w:rFonts w:ascii="Georgia" w:hAnsi="Georgia"/>
          <w:color w:val="000000"/>
          <w:w w:val="117"/>
          <w:sz w:val="24"/>
          <w:szCs w:val="24"/>
          <w:lang w:val="it-IT"/>
        </w:rPr>
        <w:t xml:space="preserve"> degli incarichi.</w:t>
      </w:r>
    </w:p>
    <w:p w:rsidR="00357B60" w:rsidRPr="000320C6" w:rsidRDefault="00357B60">
      <w:pPr>
        <w:spacing w:after="0" w:line="207" w:lineRule="exact"/>
        <w:ind w:left="1017"/>
        <w:rPr>
          <w:rFonts w:ascii="Georgia" w:hAnsi="Georgia"/>
          <w:sz w:val="24"/>
          <w:szCs w:val="24"/>
          <w:lang w:val="it-IT"/>
        </w:rPr>
      </w:pPr>
    </w:p>
    <w:p w:rsidR="00357B60" w:rsidRPr="000320C6" w:rsidRDefault="00357B60">
      <w:pPr>
        <w:spacing w:after="0" w:line="207" w:lineRule="exact"/>
        <w:ind w:left="1017"/>
        <w:rPr>
          <w:rFonts w:ascii="Georgia" w:hAnsi="Georgia"/>
          <w:sz w:val="24"/>
          <w:szCs w:val="24"/>
          <w:lang w:val="it-IT"/>
        </w:rPr>
      </w:pPr>
    </w:p>
    <w:p w:rsidR="00357B60" w:rsidRPr="000320C6" w:rsidRDefault="00357B60">
      <w:pPr>
        <w:spacing w:after="0" w:line="207" w:lineRule="exact"/>
        <w:ind w:left="1017"/>
        <w:rPr>
          <w:rFonts w:ascii="Georgia" w:hAnsi="Georgia"/>
          <w:sz w:val="24"/>
          <w:szCs w:val="24"/>
          <w:lang w:val="it-IT"/>
        </w:rPr>
      </w:pPr>
    </w:p>
    <w:p w:rsidR="00357B60" w:rsidRPr="000320C6" w:rsidRDefault="000320C6">
      <w:pPr>
        <w:spacing w:before="136" w:after="0" w:line="207" w:lineRule="exact"/>
        <w:ind w:left="1017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b/>
          <w:color w:val="000000"/>
          <w:w w:val="117"/>
          <w:sz w:val="24"/>
          <w:szCs w:val="24"/>
          <w:lang w:val="it-IT"/>
        </w:rPr>
        <w:t>TIPOLOGIA DEGLI ATTI</w:t>
      </w:r>
    </w:p>
    <w:p w:rsidR="00357B60" w:rsidRPr="000320C6" w:rsidRDefault="00357B60">
      <w:pPr>
        <w:spacing w:after="0" w:line="207" w:lineRule="exact"/>
        <w:ind w:left="1012"/>
        <w:rPr>
          <w:rFonts w:ascii="Georgia" w:hAnsi="Georgia"/>
          <w:sz w:val="24"/>
          <w:szCs w:val="24"/>
          <w:lang w:val="it-IT"/>
        </w:rPr>
      </w:pPr>
    </w:p>
    <w:p w:rsidR="00357B60" w:rsidRPr="000320C6" w:rsidRDefault="000320C6">
      <w:pPr>
        <w:spacing w:before="86" w:after="0" w:line="207" w:lineRule="exact"/>
        <w:ind w:left="1012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b/>
          <w:color w:val="000000"/>
          <w:w w:val="118"/>
          <w:sz w:val="24"/>
          <w:szCs w:val="24"/>
          <w:lang w:val="it-IT"/>
        </w:rPr>
        <w:t>Affidamento di incarichi di personale dipendente</w:t>
      </w:r>
    </w:p>
    <w:p w:rsidR="00357B60" w:rsidRPr="000320C6" w:rsidRDefault="00357B60">
      <w:pPr>
        <w:spacing w:after="0" w:line="207" w:lineRule="exact"/>
        <w:ind w:left="1003"/>
        <w:rPr>
          <w:rFonts w:ascii="Georgia" w:hAnsi="Georgia"/>
          <w:sz w:val="24"/>
          <w:szCs w:val="24"/>
          <w:lang w:val="it-IT"/>
        </w:rPr>
      </w:pPr>
    </w:p>
    <w:p w:rsidR="00357B60" w:rsidRPr="000320C6" w:rsidRDefault="000320C6">
      <w:pPr>
        <w:spacing w:before="66" w:after="0" w:line="207" w:lineRule="exact"/>
        <w:ind w:left="1003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20"/>
          <w:sz w:val="24"/>
          <w:szCs w:val="24"/>
          <w:lang w:val="it-IT"/>
        </w:rPr>
        <w:t>Non si rilevano incarichi di personale dipendente dalla pubblicazione del Piano Triennale.</w:t>
      </w:r>
    </w:p>
    <w:p w:rsidR="00357B60" w:rsidRPr="000320C6" w:rsidRDefault="00357B60">
      <w:pPr>
        <w:spacing w:after="0" w:line="207" w:lineRule="exact"/>
        <w:ind w:left="1012"/>
        <w:rPr>
          <w:rFonts w:ascii="Georgia" w:hAnsi="Georgia"/>
          <w:sz w:val="24"/>
          <w:szCs w:val="24"/>
          <w:lang w:val="it-IT"/>
        </w:rPr>
      </w:pPr>
    </w:p>
    <w:p w:rsidR="00357B60" w:rsidRPr="000320C6" w:rsidRDefault="000320C6">
      <w:pPr>
        <w:spacing w:before="86" w:after="0" w:line="207" w:lineRule="exact"/>
        <w:ind w:left="1012"/>
        <w:rPr>
          <w:rFonts w:ascii="Georgia" w:hAnsi="Georgia"/>
          <w:sz w:val="24"/>
          <w:szCs w:val="24"/>
          <w:lang w:val="it-IT"/>
        </w:rPr>
      </w:pPr>
      <w:r w:rsidRPr="000320C6">
        <w:rPr>
          <w:rFonts w:ascii="Georgia" w:hAnsi="Georgia"/>
          <w:b/>
          <w:color w:val="000000"/>
          <w:w w:val="117"/>
          <w:sz w:val="24"/>
          <w:szCs w:val="24"/>
          <w:lang w:val="it-IT"/>
        </w:rPr>
        <w:t>Affidamento di servizi e forniture</w:t>
      </w:r>
    </w:p>
    <w:p w:rsidR="00357B60" w:rsidRPr="000320C6" w:rsidRDefault="00357B60">
      <w:pPr>
        <w:spacing w:after="0" w:line="207" w:lineRule="exact"/>
        <w:ind w:left="1012"/>
        <w:rPr>
          <w:rFonts w:ascii="Georgia" w:hAnsi="Georgia"/>
          <w:sz w:val="24"/>
          <w:szCs w:val="24"/>
          <w:lang w:val="it-IT"/>
        </w:rPr>
      </w:pPr>
    </w:p>
    <w:p w:rsidR="00357B60" w:rsidRDefault="000320C6">
      <w:pPr>
        <w:spacing w:before="46" w:after="0" w:line="207" w:lineRule="exact"/>
        <w:ind w:left="1012"/>
        <w:rPr>
          <w:rFonts w:ascii="Georgia" w:hAnsi="Georgia"/>
          <w:color w:val="000000"/>
          <w:w w:val="119"/>
          <w:sz w:val="24"/>
          <w:szCs w:val="24"/>
          <w:lang w:val="it-IT"/>
        </w:rPr>
      </w:pPr>
      <w:r w:rsidRPr="000320C6">
        <w:rPr>
          <w:rFonts w:ascii="Georgia" w:hAnsi="Georgia"/>
          <w:color w:val="000000"/>
          <w:w w:val="119"/>
          <w:sz w:val="24"/>
          <w:szCs w:val="24"/>
          <w:lang w:val="it-IT"/>
        </w:rPr>
        <w:t xml:space="preserve">Concertati con </w:t>
      </w:r>
      <w:r>
        <w:rPr>
          <w:rFonts w:ascii="Georgia" w:hAnsi="Georgia"/>
          <w:color w:val="000000"/>
          <w:w w:val="119"/>
          <w:sz w:val="24"/>
          <w:szCs w:val="24"/>
          <w:lang w:val="it-IT"/>
        </w:rPr>
        <w:t>l</w:t>
      </w:r>
      <w:r w:rsidRPr="000320C6">
        <w:rPr>
          <w:rFonts w:ascii="Georgia" w:hAnsi="Georgia"/>
          <w:color w:val="000000"/>
          <w:w w:val="119"/>
          <w:sz w:val="24"/>
          <w:szCs w:val="24"/>
          <w:lang w:val="it-IT"/>
        </w:rPr>
        <w:t>a Presidenza ed i</w:t>
      </w:r>
      <w:r>
        <w:rPr>
          <w:rFonts w:ascii="Georgia" w:hAnsi="Georgia"/>
          <w:color w:val="000000"/>
          <w:w w:val="119"/>
          <w:sz w:val="24"/>
          <w:szCs w:val="24"/>
          <w:lang w:val="it-IT"/>
        </w:rPr>
        <w:t>l</w:t>
      </w:r>
      <w:r w:rsidRPr="000320C6">
        <w:rPr>
          <w:rFonts w:ascii="Georgia" w:hAnsi="Georgia"/>
          <w:color w:val="000000"/>
          <w:w w:val="119"/>
          <w:sz w:val="24"/>
          <w:szCs w:val="24"/>
          <w:lang w:val="it-IT"/>
        </w:rPr>
        <w:t xml:space="preserve"> Comitato Esecutivo e conformi ai criteri del regolamento</w:t>
      </w:r>
    </w:p>
    <w:p w:rsidR="000320C6" w:rsidRDefault="000320C6">
      <w:pPr>
        <w:spacing w:before="46" w:after="0" w:line="207" w:lineRule="exact"/>
        <w:ind w:left="1012"/>
        <w:rPr>
          <w:rFonts w:ascii="Georgia" w:hAnsi="Georgia"/>
          <w:color w:val="000000"/>
          <w:w w:val="119"/>
          <w:sz w:val="24"/>
          <w:szCs w:val="24"/>
          <w:lang w:val="it-IT"/>
        </w:rPr>
      </w:pPr>
    </w:p>
    <w:p w:rsidR="000320C6" w:rsidRDefault="000320C6">
      <w:pPr>
        <w:spacing w:before="46" w:after="0" w:line="207" w:lineRule="exact"/>
        <w:ind w:left="1012"/>
        <w:rPr>
          <w:rFonts w:ascii="Georgia" w:hAnsi="Georgia"/>
          <w:color w:val="000000"/>
          <w:w w:val="119"/>
          <w:sz w:val="24"/>
          <w:szCs w:val="24"/>
          <w:lang w:val="it-IT"/>
        </w:rPr>
      </w:pPr>
      <w:r>
        <w:rPr>
          <w:rFonts w:ascii="Georgia" w:hAnsi="Georgia"/>
          <w:color w:val="000000"/>
          <w:w w:val="119"/>
          <w:sz w:val="24"/>
          <w:szCs w:val="24"/>
          <w:lang w:val="it-IT"/>
        </w:rPr>
        <w:t>Bellaria Igea Marina</w:t>
      </w:r>
      <w:r w:rsidR="007C4639">
        <w:rPr>
          <w:rFonts w:ascii="Georgia" w:hAnsi="Georgia"/>
          <w:color w:val="000000"/>
          <w:w w:val="119"/>
          <w:sz w:val="24"/>
          <w:szCs w:val="24"/>
          <w:lang w:val="it-IT"/>
        </w:rPr>
        <w:t xml:space="preserve"> </w:t>
      </w:r>
      <w:r w:rsidR="005C1C0C">
        <w:rPr>
          <w:rFonts w:ascii="Georgia" w:hAnsi="Georgia"/>
          <w:color w:val="000000"/>
          <w:w w:val="119"/>
          <w:sz w:val="24"/>
          <w:szCs w:val="24"/>
          <w:lang w:val="it-IT"/>
        </w:rPr>
        <w:t>31</w:t>
      </w:r>
      <w:r w:rsidR="007C4639">
        <w:rPr>
          <w:rFonts w:ascii="Georgia" w:hAnsi="Georgia"/>
          <w:color w:val="000000"/>
          <w:w w:val="119"/>
          <w:sz w:val="24"/>
          <w:szCs w:val="24"/>
          <w:lang w:val="it-IT"/>
        </w:rPr>
        <w:t xml:space="preserve"> </w:t>
      </w:r>
      <w:r w:rsidR="00C07B0B">
        <w:rPr>
          <w:rFonts w:ascii="Georgia" w:hAnsi="Georgia"/>
          <w:color w:val="000000"/>
          <w:w w:val="119"/>
          <w:sz w:val="24"/>
          <w:szCs w:val="24"/>
          <w:lang w:val="it-IT"/>
        </w:rPr>
        <w:t>dicembre</w:t>
      </w:r>
      <w:bookmarkStart w:id="0" w:name="_GoBack"/>
      <w:bookmarkEnd w:id="0"/>
      <w:r w:rsidR="007C4639">
        <w:rPr>
          <w:rFonts w:ascii="Georgia" w:hAnsi="Georgia"/>
          <w:color w:val="000000"/>
          <w:w w:val="119"/>
          <w:sz w:val="24"/>
          <w:szCs w:val="24"/>
          <w:lang w:val="it-IT"/>
        </w:rPr>
        <w:t xml:space="preserve"> 202</w:t>
      </w:r>
      <w:r w:rsidR="005C1C0C">
        <w:rPr>
          <w:rFonts w:ascii="Georgia" w:hAnsi="Georgia"/>
          <w:color w:val="000000"/>
          <w:w w:val="119"/>
          <w:sz w:val="24"/>
          <w:szCs w:val="24"/>
          <w:lang w:val="it-IT"/>
        </w:rPr>
        <w:t>0</w:t>
      </w:r>
    </w:p>
    <w:p w:rsidR="000320C6" w:rsidRDefault="000320C6" w:rsidP="000320C6">
      <w:pPr>
        <w:spacing w:before="46" w:after="0" w:line="207" w:lineRule="exact"/>
        <w:rPr>
          <w:rFonts w:ascii="Georgia" w:hAnsi="Georgia"/>
          <w:color w:val="000000"/>
          <w:w w:val="119"/>
          <w:sz w:val="24"/>
          <w:szCs w:val="24"/>
          <w:lang w:val="it-IT"/>
        </w:rPr>
      </w:pPr>
    </w:p>
    <w:p w:rsidR="000320C6" w:rsidRDefault="000320C6">
      <w:pPr>
        <w:spacing w:before="46" w:after="0" w:line="207" w:lineRule="exact"/>
        <w:ind w:left="1012"/>
        <w:rPr>
          <w:rFonts w:ascii="Georgia" w:hAnsi="Georgia"/>
          <w:color w:val="000000"/>
          <w:w w:val="119"/>
          <w:sz w:val="24"/>
          <w:szCs w:val="24"/>
          <w:lang w:val="it-IT"/>
        </w:rPr>
      </w:pPr>
    </w:p>
    <w:p w:rsidR="000320C6" w:rsidRDefault="000320C6">
      <w:pPr>
        <w:spacing w:before="46" w:after="0" w:line="207" w:lineRule="exact"/>
        <w:ind w:left="1012"/>
        <w:rPr>
          <w:rFonts w:ascii="Georgia" w:hAnsi="Georgia"/>
          <w:color w:val="000000"/>
          <w:w w:val="119"/>
          <w:sz w:val="24"/>
          <w:szCs w:val="24"/>
          <w:lang w:val="it-IT"/>
        </w:rPr>
      </w:pPr>
      <w:r>
        <w:rPr>
          <w:rFonts w:ascii="Georgia" w:hAnsi="Georgia"/>
          <w:color w:val="000000"/>
          <w:w w:val="119"/>
          <w:sz w:val="24"/>
          <w:szCs w:val="24"/>
          <w:lang w:val="it-IT"/>
        </w:rPr>
        <w:t>FONDAZIONE VERDEBLU</w:t>
      </w:r>
    </w:p>
    <w:p w:rsidR="000320C6" w:rsidRPr="000320C6" w:rsidRDefault="000320C6">
      <w:pPr>
        <w:spacing w:before="46" w:after="0" w:line="207" w:lineRule="exact"/>
        <w:ind w:left="1012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color w:val="000000"/>
          <w:w w:val="119"/>
          <w:sz w:val="24"/>
          <w:szCs w:val="24"/>
          <w:lang w:val="it-IT"/>
        </w:rPr>
        <w:t>PAOLO BORGHESI</w:t>
      </w:r>
    </w:p>
    <w:sectPr w:rsidR="000320C6" w:rsidRPr="000320C6">
      <w:pgSz w:w="11560" w:h="1648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940"/>
    <w:multiLevelType w:val="hybridMultilevel"/>
    <w:tmpl w:val="9CB44EEA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320C6"/>
    <w:rsid w:val="00086990"/>
    <w:rsid w:val="002930D6"/>
    <w:rsid w:val="00357B60"/>
    <w:rsid w:val="005C1C0C"/>
    <w:rsid w:val="007C4639"/>
    <w:rsid w:val="007D3D0C"/>
    <w:rsid w:val="008202E3"/>
    <w:rsid w:val="00C07B0B"/>
    <w:rsid w:val="00E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D6AF0"/>
  <w15:docId w15:val="{BA70AA24-C58F-4B6A-AAA9-058B402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11</cp:revision>
  <dcterms:created xsi:type="dcterms:W3CDTF">2011-06-08T20:36:00Z</dcterms:created>
  <dcterms:modified xsi:type="dcterms:W3CDTF">2021-03-05T15:21:00Z</dcterms:modified>
</cp:coreProperties>
</file>